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20" w:lineRule="auto" w:before="79"/>
        <w:ind w:left="3559" w:right="3562" w:firstLine="729"/>
      </w:pPr>
      <w:r>
        <w:rPr/>
        <w:t>&lt;TEMPLATE&gt; LETTER OF ACCESS FOR CEP</w:t>
      </w:r>
    </w:p>
    <w:p>
      <w:pPr>
        <w:spacing w:after="0" w:line="720" w:lineRule="auto"/>
        <w:sectPr>
          <w:type w:val="continuous"/>
          <w:pgSz w:w="12240" w:h="15840"/>
          <w:pgMar w:top="640" w:bottom="280" w:left="1340" w:right="920"/>
        </w:sectPr>
      </w:pPr>
    </w:p>
    <w:p>
      <w:pPr>
        <w:spacing w:before="1"/>
        <w:ind w:left="3287" w:right="20" w:firstLine="0"/>
        <w:jc w:val="center"/>
        <w:rPr>
          <w:b/>
          <w:sz w:val="20"/>
        </w:rPr>
      </w:pPr>
      <w:r>
        <w:rPr>
          <w:b/>
          <w:sz w:val="20"/>
        </w:rPr>
        <w:t>&lt;</w:t>
      </w:r>
      <w:r>
        <w:rPr>
          <w:b/>
          <w:sz w:val="20"/>
          <w:u w:val="single"/>
        </w:rPr>
        <w:t>Certificate of Suitability (CEP)&gt;</w:t>
      </w:r>
    </w:p>
    <w:p>
      <w:pPr>
        <w:spacing w:before="119"/>
        <w:ind w:left="3287" w:right="13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&lt;Letter of Access (LOA</w:t>
      </w:r>
      <w:r>
        <w:rPr>
          <w:b/>
          <w:sz w:val="20"/>
        </w:rPr>
        <w:t>)&gt;</w:t>
      </w:r>
    </w:p>
    <w:p>
      <w:pPr>
        <w:pStyle w:val="BodyText"/>
        <w:rPr>
          <w:b/>
          <w:sz w:val="24"/>
        </w:rPr>
      </w:pPr>
    </w:p>
    <w:p>
      <w:pPr>
        <w:spacing w:before="194"/>
        <w:ind w:left="100" w:right="0" w:firstLine="0"/>
        <w:jc w:val="left"/>
        <w:rPr>
          <w:sz w:val="20"/>
        </w:rPr>
      </w:pPr>
      <w:r>
        <w:rPr>
          <w:b/>
          <w:sz w:val="20"/>
        </w:rPr>
        <w:t>&lt;Active pharmaceutical ingredient name </w:t>
      </w:r>
      <w:r>
        <w:rPr>
          <w:sz w:val="20"/>
        </w:rPr>
        <w:t>:&gt;</w:t>
      </w:r>
    </w:p>
    <w:p>
      <w:pPr>
        <w:pStyle w:val="BodyText"/>
        <w:rPr>
          <w:sz w:val="24"/>
        </w:rPr>
      </w:pPr>
    </w:p>
    <w:p>
      <w:pPr>
        <w:spacing w:before="193"/>
        <w:ind w:left="100" w:right="0" w:firstLine="0"/>
        <w:jc w:val="left"/>
        <w:rPr>
          <w:sz w:val="20"/>
        </w:rPr>
      </w:pPr>
      <w:r>
        <w:rPr>
          <w:b/>
          <w:sz w:val="20"/>
        </w:rPr>
        <w:t>&lt;CEP Holders name and address </w:t>
      </w:r>
      <w:r>
        <w:rPr>
          <w:sz w:val="20"/>
        </w:rPr>
        <w:t>:&gt;</w:t>
      </w:r>
    </w:p>
    <w:p>
      <w:pPr>
        <w:pStyle w:val="BodyText"/>
        <w:rPr>
          <w:sz w:val="24"/>
        </w:rPr>
      </w:pPr>
    </w:p>
    <w:p>
      <w:pPr>
        <w:spacing w:before="194"/>
        <w:ind w:left="100" w:right="0" w:firstLine="0"/>
        <w:jc w:val="left"/>
        <w:rPr>
          <w:sz w:val="20"/>
        </w:rPr>
      </w:pPr>
      <w:r>
        <w:rPr>
          <w:b/>
          <w:sz w:val="20"/>
        </w:rPr>
        <w:t>&lt;Active pharmaceutical ingredient manufacturing site(s) </w:t>
      </w:r>
      <w:r>
        <w:rPr>
          <w:sz w:val="20"/>
        </w:rPr>
        <w:t>:&gt;</w:t>
      </w:r>
    </w:p>
    <w:p>
      <w:pPr>
        <w:pStyle w:val="BodyText"/>
        <w:rPr>
          <w:sz w:val="24"/>
        </w:rPr>
      </w:pPr>
    </w:p>
    <w:p>
      <w:pPr>
        <w:spacing w:before="192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&lt;APIMF version number :&gt;</w:t>
      </w:r>
    </w:p>
    <w:p>
      <w:pPr>
        <w:pStyle w:val="BodyText"/>
        <w:rPr>
          <w:b/>
          <w:sz w:val="24"/>
        </w:rPr>
      </w:pPr>
    </w:p>
    <w:p>
      <w:pPr>
        <w:spacing w:before="194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&lt;Open part :&gt;</w:t>
      </w:r>
    </w:p>
    <w:p>
      <w:pPr>
        <w:pStyle w:val="BodyText"/>
        <w:rPr>
          <w:b/>
          <w:sz w:val="24"/>
        </w:rPr>
      </w:pPr>
    </w:p>
    <w:p>
      <w:pPr>
        <w:spacing w:before="193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&lt;Closed Part :&gt;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1"/>
        <w:rPr>
          <w:b/>
          <w:sz w:val="35"/>
        </w:rPr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&lt;Date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40" w:bottom="280" w:left="1340" w:right="920"/>
          <w:cols w:num="2" w:equalWidth="0">
            <w:col w:w="6690" w:space="2434"/>
            <w:col w:w="856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360" w:lineRule="auto"/>
        <w:ind w:left="100" w:right="135"/>
      </w:pPr>
      <w:r>
        <w:rPr/>
        <w:t>&lt; {CEP Holders Name}, hereby authorizes the relevant NAFDAC staff members and external experts to refer to and review the above-mentioned CEP &lt;CEP Number(s)&gt; in support application(s) submitted by {Applicants Name/Address} for the following product&gt;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&lt;</w:t>
      </w:r>
      <w:r>
        <w:rPr>
          <w:b/>
          <w:spacing w:val="-26"/>
          <w:sz w:val="20"/>
        </w:rPr>
        <w:t> </w:t>
      </w:r>
      <w:r>
        <w:rPr>
          <w:i/>
          <w:sz w:val="21"/>
        </w:rPr>
        <w:t>(FPP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product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generic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name),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(strength)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(dosage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form)</w:t>
      </w:r>
      <w:r>
        <w:rPr>
          <w:i/>
          <w:spacing w:val="-28"/>
          <w:sz w:val="21"/>
        </w:rPr>
        <w:t> </w:t>
      </w:r>
      <w:r>
        <w:rPr>
          <w:sz w:val="20"/>
        </w:rPr>
        <w:t>(NAFDAC-</w:t>
      </w:r>
      <w:r>
        <w:rPr>
          <w:spacing w:val="-28"/>
          <w:sz w:val="20"/>
        </w:rPr>
        <w:t> </w:t>
      </w:r>
      <w:r>
        <w:rPr>
          <w:sz w:val="20"/>
        </w:rPr>
        <w:t>Assigned</w:t>
      </w:r>
      <w:r>
        <w:rPr>
          <w:spacing w:val="-28"/>
          <w:sz w:val="20"/>
        </w:rPr>
        <w:t> </w:t>
      </w:r>
      <w:r>
        <w:rPr>
          <w:sz w:val="20"/>
        </w:rPr>
        <w:t>reference</w:t>
      </w:r>
      <w:r>
        <w:rPr>
          <w:spacing w:val="-30"/>
          <w:sz w:val="20"/>
        </w:rPr>
        <w:t> </w:t>
      </w:r>
      <w:r>
        <w:rPr>
          <w:sz w:val="20"/>
        </w:rPr>
        <w:t>number</w:t>
      </w:r>
      <w:r>
        <w:rPr>
          <w:spacing w:val="-30"/>
          <w:sz w:val="20"/>
        </w:rPr>
        <w:t> </w:t>
      </w:r>
      <w:r>
        <w:rPr>
          <w:sz w:val="20"/>
        </w:rPr>
        <w:t>if</w:t>
      </w:r>
      <w:r>
        <w:rPr>
          <w:spacing w:val="-29"/>
          <w:sz w:val="20"/>
        </w:rPr>
        <w:t> </w:t>
      </w:r>
      <w:r>
        <w:rPr>
          <w:sz w:val="20"/>
        </w:rPr>
        <w:t>known)&gt;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0"/>
      </w:pPr>
      <w:r>
        <w:rPr/>
        <w:t>&lt;The aforementioned CEP holder is committed to ensuring batch-to-batch consistency and to informing</w:t>
      </w:r>
    </w:p>
    <w:p>
      <w:pPr>
        <w:pStyle w:val="BodyText"/>
        <w:spacing w:line="360" w:lineRule="auto" w:before="121"/>
        <w:ind w:left="100" w:right="115"/>
        <w:jc w:val="both"/>
      </w:pPr>
      <w:r>
        <w:rPr/>
        <w:t>{Applicants</w:t>
      </w:r>
      <w:r>
        <w:rPr>
          <w:spacing w:val="-6"/>
        </w:rPr>
        <w:t> </w:t>
      </w:r>
      <w:r>
        <w:rPr/>
        <w:t>Name}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NAFDAC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change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Open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Closed</w:t>
      </w:r>
      <w:r>
        <w:rPr>
          <w:spacing w:val="-4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APIMF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significant change</w:t>
      </w:r>
      <w:r>
        <w:rPr>
          <w:spacing w:val="-10"/>
        </w:rPr>
        <w:t> </w:t>
      </w:r>
      <w:r>
        <w:rPr/>
        <w:t>is</w:t>
      </w:r>
      <w:r>
        <w:rPr>
          <w:spacing w:val="-13"/>
        </w:rPr>
        <w:t> </w:t>
      </w:r>
      <w:r>
        <w:rPr/>
        <w:t>made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site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manufacture,</w:t>
      </w:r>
      <w:r>
        <w:rPr>
          <w:spacing w:val="-14"/>
        </w:rPr>
        <w:t> </w:t>
      </w:r>
      <w:r>
        <w:rPr/>
        <w:t>manufacturing</w:t>
      </w:r>
      <w:r>
        <w:rPr>
          <w:spacing w:val="-14"/>
        </w:rPr>
        <w:t> </w:t>
      </w:r>
      <w:r>
        <w:rPr/>
        <w:t>procedure</w:t>
      </w:r>
      <w:r>
        <w:rPr>
          <w:spacing w:val="-10"/>
        </w:rPr>
        <w:t> </w:t>
      </w:r>
      <w:r>
        <w:rPr/>
        <w:t>or</w:t>
      </w:r>
      <w:r>
        <w:rPr>
          <w:spacing w:val="-13"/>
        </w:rPr>
        <w:t> </w:t>
      </w:r>
      <w:r>
        <w:rPr/>
        <w:t>quality</w:t>
      </w:r>
      <w:r>
        <w:rPr>
          <w:spacing w:val="-12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specifications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2"/>
        </w:rPr>
        <w:t>the</w:t>
      </w:r>
      <w:r>
        <w:rPr>
          <w:spacing w:val="-13"/>
        </w:rPr>
        <w:t> </w:t>
      </w:r>
      <w:r>
        <w:rPr/>
        <w:t>API. Except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NAFDAC</w:t>
      </w:r>
      <w:r>
        <w:rPr>
          <w:spacing w:val="-3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medicines,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to the</w:t>
      </w:r>
      <w:r>
        <w:rPr>
          <w:spacing w:val="-6"/>
        </w:rPr>
        <w:t> </w:t>
      </w:r>
      <w:r>
        <w:rPr/>
        <w:t>API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manufacture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medicine</w:t>
      </w:r>
      <w:r>
        <w:rPr>
          <w:spacing w:val="-6"/>
        </w:rPr>
        <w:t> </w:t>
      </w:r>
      <w:r>
        <w:rPr/>
        <w:t>destined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distributed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Nigeria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written</w:t>
      </w:r>
      <w:r>
        <w:rPr>
          <w:spacing w:val="1"/>
        </w:rPr>
        <w:t> </w:t>
      </w:r>
      <w:r>
        <w:rPr/>
        <w:t>approval is granted by</w:t>
      </w:r>
      <w:r>
        <w:rPr>
          <w:spacing w:val="-1"/>
        </w:rPr>
        <w:t> </w:t>
      </w:r>
      <w:r>
        <w:rPr/>
        <w:t>NAFDAC.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00" w:right="135"/>
      </w:pPr>
      <w:r>
        <w:rPr/>
        <w:t>It is understood that the consequences of failure to obtain approval for changes where approval is necessary may include de-registration and recall of batches of medicines.&gt;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0"/>
      </w:pPr>
      <w:r>
        <w:rPr/>
        <w:t>&lt;Name &amp; Signature of Responsible Officer&gt;</w:t>
      </w:r>
    </w:p>
    <w:p>
      <w:pPr>
        <w:pStyle w:val="BodyText"/>
        <w:spacing w:before="121"/>
        <w:ind w:left="100"/>
      </w:pPr>
      <w:r>
        <w:rPr/>
        <w:t>&lt;Designation&gt;</w:t>
      </w:r>
    </w:p>
    <w:sectPr>
      <w:type w:val="continuous"/>
      <w:pgSz w:w="12240" w:h="15840"/>
      <w:pgMar w:top="640" w:bottom="280" w:left="13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2018-07-07T07:30:27Z</dcterms:created>
  <dcterms:modified xsi:type="dcterms:W3CDTF">2018-07-07T07:30:27Z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2018-07-07T00:00:00Z</vt:filetime>
  </property>
</Properties>
</file>